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color w:val="1F3A5F"/>
          <w:sz w:val="32"/>
        </w:rPr>
        <w:t>Bordereau de préparation du besoin</w:t>
      </w:r>
    </w:p>
    <w:p>
      <w:r>
        <w:rPr>
          <w:rFonts w:ascii="Calibri" w:hAnsi="Calibri"/>
          <w:i/>
          <w:sz w:val="18"/>
        </w:rPr>
        <w:t>Document d'aide à la préparation — à remplir puis à joindre à votre rédaction.</w:t>
      </w:r>
    </w:p>
    <w:p>
      <w:pPr>
        <w:pStyle w:val="Heading2"/>
      </w:pPr>
      <w:r>
        <w:t>0. Identité de l'acheteur et du marché</w:t>
      </w:r>
    </w:p>
    <w:p>
      <w:r>
        <w:rPr>
          <w:rFonts w:ascii="Calibri" w:hAnsi="Calibri"/>
          <w:b/>
          <w:sz w:val="22"/>
        </w:rPr>
        <w:t>Profil de l'acheteur</w:t>
      </w:r>
    </w:p>
    <w:p>
      <w:r>
        <w:rPr>
          <w:rFonts w:ascii="Calibri" w:hAnsi="Calibri"/>
          <w:i/>
          <w:sz w:val="22"/>
        </w:rPr>
        <w:t>Détermine le cadre réglementaire applicable.</w:t>
      </w:r>
    </w:p>
    <w:p>
      <w:pPr>
        <w:pStyle w:val="ListBullet"/>
      </w:pPr>
      <w:r>
        <w:rPr>
          <w:rFonts w:ascii="Calibri" w:hAnsi="Calibri"/>
          <w:sz w:val="22"/>
        </w:rPr>
        <w:t>Commune / mairie</w:t>
      </w:r>
    </w:p>
    <w:p>
      <w:pPr>
        <w:pStyle w:val="ListBullet"/>
      </w:pPr>
      <w:r>
        <w:rPr>
          <w:rFonts w:ascii="Calibri" w:hAnsi="Calibri"/>
          <w:sz w:val="22"/>
        </w:rPr>
        <w:t>Intercommunalité (métropole, communauté d'agglomération ou de communes)</w:t>
      </w:r>
    </w:p>
    <w:p>
      <w:pPr>
        <w:pStyle w:val="ListBullet"/>
      </w:pPr>
      <w:r>
        <w:rPr>
          <w:rFonts w:ascii="Calibri" w:hAnsi="Calibri"/>
          <w:sz w:val="22"/>
        </w:rPr>
        <w:t>Département</w:t>
      </w:r>
    </w:p>
    <w:p>
      <w:pPr>
        <w:pStyle w:val="ListBullet"/>
      </w:pPr>
      <w:r>
        <w:rPr>
          <w:rFonts w:ascii="Calibri" w:hAnsi="Calibri"/>
          <w:sz w:val="22"/>
        </w:rPr>
        <w:t>Région</w:t>
      </w:r>
    </w:p>
    <w:p>
      <w:pPr>
        <w:pStyle w:val="ListBullet"/>
      </w:pPr>
      <w:r>
        <w:rPr>
          <w:rFonts w:ascii="Calibri" w:hAnsi="Calibri"/>
          <w:sz w:val="22"/>
        </w:rPr>
        <w:t>État et services déconcentrés</w:t>
      </w:r>
    </w:p>
    <w:p>
      <w:pPr>
        <w:pStyle w:val="ListBullet"/>
      </w:pPr>
      <w:r>
        <w:rPr>
          <w:rFonts w:ascii="Calibri" w:hAnsi="Calibri"/>
          <w:sz w:val="22"/>
        </w:rPr>
        <w:t>Établissement public (hôpital, université, SDIS, office public de l'habitat…)</w:t>
      </w:r>
    </w:p>
    <w:p>
      <w:pPr>
        <w:pStyle w:val="ListBullet"/>
      </w:pPr>
      <w:r>
        <w:rPr>
          <w:rFonts w:ascii="Calibri" w:hAnsi="Calibri"/>
          <w:sz w:val="22"/>
        </w:rPr>
        <w:t>Autre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Nom du pouvoir adjudicateur</w:t>
      </w:r>
      <w:r>
        <w:rPr>
          <w:rFonts w:ascii="Calibri" w:hAnsi="Calibri"/>
          <w:sz w:val="22"/>
        </w:rPr>
        <w:t xml:space="preserve"> (obligatoire)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Groupement de commandes ?</w:t>
      </w:r>
    </w:p>
    <w:p>
      <w:r>
        <w:rPr>
          <w:rFonts w:ascii="Calibri" w:hAnsi="Calibri"/>
          <w:i/>
          <w:sz w:val="22"/>
        </w:rPr>
        <w:t>Si oui, précisez les membres et le coordonnateur.</w:t>
      </w:r>
    </w:p>
    <w:p>
      <w:pPr>
        <w:pStyle w:val="ListBullet"/>
      </w:pPr>
      <w:r>
        <w:rPr>
          <w:rFonts w:ascii="Calibri" w:hAnsi="Calibri"/>
          <w:sz w:val="22"/>
        </w:rPr>
        <w:t>Non</w:t>
      </w:r>
    </w:p>
    <w:p>
      <w:pPr>
        <w:pStyle w:val="ListBullet"/>
      </w:pPr>
      <w:r>
        <w:rPr>
          <w:rFonts w:ascii="Calibri" w:hAnsi="Calibri"/>
          <w:sz w:val="22"/>
        </w:rPr>
        <w:t>Oui — préciser les membres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Objet / intitulé du marché</w:t>
      </w:r>
      <w:r>
        <w:rPr>
          <w:rFonts w:ascii="Calibri" w:hAnsi="Calibri"/>
          <w:sz w:val="22"/>
        </w:rPr>
        <w:t xml:space="preserve"> (obligatoire)</w:t>
      </w:r>
    </w:p>
    <w:p>
      <w:r>
        <w:rPr>
          <w:rFonts w:ascii="Calibri" w:hAnsi="Calibri"/>
          <w:i/>
          <w:sz w:val="22"/>
        </w:rPr>
        <w:t>En une phrase claire et précise.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Numéro / référence interne</w:t>
      </w:r>
    </w:p>
    <w:p>
      <w:r>
        <w:rPr>
          <w:rFonts w:ascii="Calibri" w:hAnsi="Calibri"/>
          <w:i/>
          <w:sz w:val="22"/>
        </w:rPr>
        <w:t>Votre référence de suivi, si vous en avez une.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1. Définition et périmètre du besoin</w:t>
      </w:r>
    </w:p>
    <w:p>
      <w:r>
        <w:rPr>
          <w:rFonts w:ascii="Calibri" w:hAnsi="Calibri"/>
          <w:b/>
          <w:sz w:val="22"/>
        </w:rPr>
        <w:t>Description détaillée du besoin</w:t>
      </w:r>
    </w:p>
    <w:p>
      <w:r>
        <w:rPr>
          <w:rFonts w:ascii="Calibri" w:hAnsi="Calibri"/>
          <w:i/>
          <w:sz w:val="22"/>
        </w:rPr>
        <w:t>Le cœur de votre demande : prestations attendues, contexte, volumétrie, objectifs. C'est ce que l'outil lira en priorité.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Nouveau marché ou renouvellement ?</w:t>
      </w:r>
    </w:p>
    <w:p>
      <w:r>
        <w:rPr>
          <w:rFonts w:ascii="Calibri" w:hAnsi="Calibri"/>
          <w:i/>
          <w:sz w:val="22"/>
        </w:rPr>
        <w:t>Si renouvellement : ce qui a bien fonctionné, ce qui doit changer.</w:t>
      </w:r>
    </w:p>
    <w:p>
      <w:pPr>
        <w:pStyle w:val="ListBullet"/>
      </w:pPr>
      <w:r>
        <w:rPr>
          <w:rFonts w:ascii="Calibri" w:hAnsi="Calibri"/>
          <w:sz w:val="22"/>
        </w:rPr>
        <w:t>Nouveau marché</w:t>
      </w:r>
    </w:p>
    <w:p>
      <w:pPr>
        <w:pStyle w:val="ListBullet"/>
      </w:pPr>
      <w:r>
        <w:rPr>
          <w:rFonts w:ascii="Calibri" w:hAnsi="Calibri"/>
          <w:sz w:val="22"/>
        </w:rPr>
        <w:t>Renouvellement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Avez-vous réalisé un sourcing préalable ?</w:t>
      </w:r>
    </w:p>
    <w:p>
      <w:r>
        <w:rPr>
          <w:rFonts w:ascii="Calibri" w:hAnsi="Calibri"/>
          <w:i/>
          <w:sz w:val="22"/>
        </w:rPr>
        <w:t>Étude de marché ou échanges avec des fournisseurs pour cadrer le besoin et le niveau de prix.</w:t>
      </w:r>
    </w:p>
    <w:p>
      <w:pPr>
        <w:pStyle w:val="ListBullet"/>
      </w:pPr>
      <w:r>
        <w:rPr>
          <w:rFonts w:ascii="Calibri" w:hAnsi="Calibri"/>
          <w:sz w:val="22"/>
        </w:rPr>
        <w:t>Oui</w:t>
      </w:r>
    </w:p>
    <w:p>
      <w:pPr>
        <w:pStyle w:val="ListBullet"/>
      </w:pPr>
      <w:r>
        <w:rPr>
          <w:rFonts w:ascii="Calibri" w:hAnsi="Calibri"/>
          <w:sz w:val="22"/>
        </w:rPr>
        <w:t>Non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Normes, certifications ou contraintes techniques exigées ?</w:t>
      </w:r>
    </w:p>
    <w:p>
      <w:r>
        <w:rPr>
          <w:rFonts w:ascii="Calibri" w:hAnsi="Calibri"/>
          <w:i/>
          <w:sz w:val="22"/>
        </w:rPr>
        <w:t>Référentiels, labels, exigences d'interopérabilité, etc.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L'objet implique-t-il, pour le titulaire, le traitement de données personnelles ou sensibles (y compris de santé) ?</w:t>
      </w:r>
    </w:p>
    <w:p>
      <w:r>
        <w:rPr>
          <w:rFonts w:ascii="Calibri" w:hAnsi="Calibri"/>
          <w:i/>
          <w:sz w:val="22"/>
        </w:rPr>
        <w:t>Exemple : une solution d'IA analysant des images médicales, un logiciel traitant des dossiers d'usagers. Si oui, prévoyez les clauses RGPD adaptées (notamment la sous-traitance de données) ; pour des données de santé, exigez du titulaire un hébergement certifié HDS.</w:t>
      </w:r>
    </w:p>
    <w:p>
      <w:pPr>
        <w:pStyle w:val="ListBullet"/>
      </w:pPr>
      <w:r>
        <w:rPr>
          <w:rFonts w:ascii="Calibri" w:hAnsi="Calibri"/>
          <w:sz w:val="22"/>
        </w:rPr>
        <w:t>Non</w:t>
      </w:r>
    </w:p>
    <w:p>
      <w:pPr>
        <w:pStyle w:val="ListBullet"/>
      </w:pPr>
      <w:r>
        <w:rPr>
          <w:rFonts w:ascii="Calibri" w:hAnsi="Calibri"/>
          <w:sz w:val="22"/>
        </w:rPr>
        <w:t>Oui — données personnelles</w:t>
      </w:r>
    </w:p>
    <w:p>
      <w:pPr>
        <w:pStyle w:val="ListBullet"/>
      </w:pPr>
      <w:r>
        <w:rPr>
          <w:rFonts w:ascii="Calibri" w:hAnsi="Calibri"/>
          <w:sz w:val="22"/>
        </w:rPr>
        <w:t>Oui — données de santé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Le titulaire devra-t-il accéder à votre système d'information ?</w:t>
      </w:r>
    </w:p>
    <w:p>
      <w:r>
        <w:rPr>
          <w:rFonts w:ascii="Calibri" w:hAnsi="Calibri"/>
          <w:i/>
          <w:sz w:val="22"/>
        </w:rPr>
        <w:t>Si oui : clauses de sécurité (SSI) et de réversibilité.</w:t>
      </w:r>
    </w:p>
    <w:p>
      <w:pPr>
        <w:pStyle w:val="ListBullet"/>
      </w:pPr>
      <w:r>
        <w:rPr>
          <w:rFonts w:ascii="Calibri" w:hAnsi="Calibri"/>
          <w:sz w:val="22"/>
        </w:rPr>
        <w:t>Non</w:t>
      </w:r>
    </w:p>
    <w:p>
      <w:pPr>
        <w:pStyle w:val="ListBullet"/>
      </w:pPr>
      <w:r>
        <w:rPr>
          <w:rFonts w:ascii="Calibri" w:hAnsi="Calibri"/>
          <w:sz w:val="22"/>
        </w:rPr>
        <w:t>Oui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2. Estimation financière et procédure</w:t>
      </w:r>
    </w:p>
    <w:p>
      <w:r>
        <w:rPr>
          <w:rFonts w:ascii="Calibri" w:hAnsi="Calibri"/>
          <w:b/>
          <w:sz w:val="22"/>
        </w:rPr>
        <w:t>Montant estimé HT sur la durée totale</w:t>
      </w:r>
      <w:r>
        <w:rPr>
          <w:rFonts w:ascii="Calibri" w:hAnsi="Calibri"/>
          <w:sz w:val="22"/>
        </w:rPr>
        <w:t xml:space="preserve"> (obligatoire)</w:t>
      </w:r>
    </w:p>
    <w:p>
      <w:r>
        <w:rPr>
          <w:rFonts w:ascii="Calibri" w:hAnsi="Calibri"/>
          <w:i/>
          <w:sz w:val="22"/>
        </w:rPr>
        <w:t>Reconductions comprises. Détermine les seuils et donc la procédure applicable.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Procédure envisagée</w:t>
      </w:r>
    </w:p>
    <w:p>
      <w:r>
        <w:rPr>
          <w:rFonts w:ascii="Calibri" w:hAnsi="Calibri"/>
          <w:i/>
          <w:sz w:val="22"/>
        </w:rPr>
        <w:t>Peut être déduite des seuils.</w:t>
      </w:r>
    </w:p>
    <w:p>
      <w:pPr>
        <w:pStyle w:val="ListBullet"/>
      </w:pPr>
      <w:r>
        <w:rPr>
          <w:rFonts w:ascii="Calibri" w:hAnsi="Calibri"/>
          <w:sz w:val="22"/>
        </w:rPr>
        <w:t>MAPA (procédure adaptée)</w:t>
      </w:r>
    </w:p>
    <w:p>
      <w:pPr>
        <w:pStyle w:val="ListBullet"/>
      </w:pPr>
      <w:r>
        <w:rPr>
          <w:rFonts w:ascii="Calibri" w:hAnsi="Calibri"/>
          <w:sz w:val="22"/>
        </w:rPr>
        <w:t>Appel d'offres ouvert</w:t>
      </w:r>
    </w:p>
    <w:p>
      <w:pPr>
        <w:pStyle w:val="ListBullet"/>
      </w:pPr>
      <w:r>
        <w:rPr>
          <w:rFonts w:ascii="Calibri" w:hAnsi="Calibri"/>
          <w:sz w:val="22"/>
        </w:rPr>
        <w:t>Appel d'offres restreint</w:t>
      </w:r>
    </w:p>
    <w:p>
      <w:pPr>
        <w:pStyle w:val="ListBullet"/>
      </w:pPr>
      <w:r>
        <w:rPr>
          <w:rFonts w:ascii="Calibri" w:hAnsi="Calibri"/>
          <w:sz w:val="22"/>
        </w:rPr>
        <w:t>Marché négocié / avec négociation</w:t>
      </w:r>
    </w:p>
    <w:p>
      <w:pPr>
        <w:pStyle w:val="ListBullet"/>
      </w:pPr>
      <w:r>
        <w:rPr>
          <w:rFonts w:ascii="Calibri" w:hAnsi="Calibri"/>
          <w:sz w:val="22"/>
        </w:rPr>
        <w:t>Dialogue compétitif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3. Cadre contractuel</w:t>
      </w:r>
    </w:p>
    <w:p>
      <w:r>
        <w:rPr>
          <w:rFonts w:ascii="Calibri" w:hAnsi="Calibri"/>
          <w:b/>
          <w:sz w:val="22"/>
        </w:rPr>
        <w:t>CCAG applicable</w:t>
      </w:r>
    </w:p>
    <w:p>
      <w:r>
        <w:rPr>
          <w:rFonts w:ascii="Calibri" w:hAnsi="Calibri"/>
          <w:i/>
          <w:sz w:val="22"/>
        </w:rPr>
        <w:t>Cahier des clauses administratives générales correspondant au type de marché.</w:t>
      </w:r>
    </w:p>
    <w:p>
      <w:pPr>
        <w:pStyle w:val="ListBullet"/>
      </w:pPr>
      <w:r>
        <w:rPr>
          <w:rFonts w:ascii="Calibri" w:hAnsi="Calibri"/>
          <w:sz w:val="22"/>
        </w:rPr>
        <w:t>CCAG Fournitures courantes et services (FCS)</w:t>
      </w:r>
    </w:p>
    <w:p>
      <w:pPr>
        <w:pStyle w:val="ListBullet"/>
      </w:pPr>
      <w:r>
        <w:rPr>
          <w:rFonts w:ascii="Calibri" w:hAnsi="Calibri"/>
          <w:sz w:val="22"/>
        </w:rPr>
        <w:t>CCAG Travaux</w:t>
      </w:r>
    </w:p>
    <w:p>
      <w:pPr>
        <w:pStyle w:val="ListBullet"/>
      </w:pPr>
      <w:r>
        <w:rPr>
          <w:rFonts w:ascii="Calibri" w:hAnsi="Calibri"/>
          <w:sz w:val="22"/>
        </w:rPr>
        <w:t>CCAG Prestations intellectuelles (PI)</w:t>
      </w:r>
    </w:p>
    <w:p>
      <w:pPr>
        <w:pStyle w:val="ListBullet"/>
      </w:pPr>
      <w:r>
        <w:rPr>
          <w:rFonts w:ascii="Calibri" w:hAnsi="Calibri"/>
          <w:sz w:val="22"/>
        </w:rPr>
        <w:t>CCAG Techniques de l'information et de la communication (TIC)</w:t>
      </w:r>
    </w:p>
    <w:p>
      <w:pPr>
        <w:pStyle w:val="ListBullet"/>
      </w:pPr>
      <w:r>
        <w:rPr>
          <w:rFonts w:ascii="Calibri" w:hAnsi="Calibri"/>
          <w:sz w:val="22"/>
        </w:rPr>
        <w:t>CCAG Maîtrise d'œuvre (MOE)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Forme du marché</w:t>
      </w:r>
    </w:p>
    <w:p>
      <w:r>
        <w:rPr>
          <w:rFonts w:ascii="Calibri" w:hAnsi="Calibri"/>
          <w:i/>
          <w:sz w:val="22"/>
        </w:rPr>
        <w:t>Si accord-cadre : précisez les minimums/maximums (en montant ou en quantités). La durée d'un accord-cadre est limitée à 4 ans, sauf cas dérogatoires justifiés (art. R.2162-13 du code de la commande publique).</w:t>
      </w:r>
    </w:p>
    <w:p>
      <w:pPr>
        <w:pStyle w:val="ListBullet"/>
      </w:pPr>
      <w:r>
        <w:rPr>
          <w:rFonts w:ascii="Calibri" w:hAnsi="Calibri"/>
          <w:sz w:val="22"/>
        </w:rPr>
        <w:t>Marché ordinaire</w:t>
      </w:r>
    </w:p>
    <w:p>
      <w:pPr>
        <w:pStyle w:val="ListBullet"/>
      </w:pPr>
      <w:r>
        <w:rPr>
          <w:rFonts w:ascii="Calibri" w:hAnsi="Calibri"/>
          <w:sz w:val="22"/>
        </w:rPr>
        <w:t>Accord-cadre à bons de commande</w:t>
      </w:r>
    </w:p>
    <w:p>
      <w:pPr>
        <w:pStyle w:val="ListBullet"/>
      </w:pPr>
      <w:r>
        <w:rPr>
          <w:rFonts w:ascii="Calibri" w:hAnsi="Calibri"/>
          <w:sz w:val="22"/>
        </w:rPr>
        <w:t>Accord-cadre à marchés subséquents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Durée initiale et reconductions</w:t>
      </w:r>
      <w:r>
        <w:rPr>
          <w:rFonts w:ascii="Calibri" w:hAnsi="Calibri"/>
          <w:sz w:val="22"/>
        </w:rPr>
        <w:t xml:space="preserve"> (obligatoire)</w:t>
      </w:r>
    </w:p>
    <w:p>
      <w:r>
        <w:rPr>
          <w:rFonts w:ascii="Calibri" w:hAnsi="Calibri"/>
          <w:i/>
          <w:sz w:val="22"/>
        </w:rPr>
        <w:t>Durée de base, nombre et durée des reconductions. La durée totale (reconductions comprises) influe sur le montant estimé et la procédure.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Allotissement</w:t>
      </w:r>
    </w:p>
    <w:p>
      <w:r>
        <w:rPr>
          <w:rFonts w:ascii="Calibri" w:hAnsi="Calibri"/>
          <w:i/>
          <w:sz w:val="22"/>
        </w:rPr>
        <w:t>L'allotissement est le principe ; le marché global est une exception à justifier (art. L.2113-10 et L.2113-11 du code de la commande publique). Si alloti : listez les lots envisagés.</w:t>
      </w:r>
    </w:p>
    <w:p>
      <w:pPr>
        <w:pStyle w:val="ListBullet"/>
      </w:pPr>
      <w:r>
        <w:rPr>
          <w:rFonts w:ascii="Calibri" w:hAnsi="Calibri"/>
          <w:sz w:val="22"/>
        </w:rPr>
        <w:t>Alloti — préciser les lots</w:t>
      </w:r>
    </w:p>
    <w:p>
      <w:pPr>
        <w:pStyle w:val="ListBullet"/>
      </w:pPr>
      <w:r>
        <w:rPr>
          <w:rFonts w:ascii="Calibri" w:hAnsi="Calibri"/>
          <w:sz w:val="22"/>
        </w:rPr>
        <w:t>Marché global (à justifier)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4. Prix et révision</w:t>
      </w:r>
    </w:p>
    <w:p>
      <w:r>
        <w:rPr>
          <w:rFonts w:ascii="Calibri" w:hAnsi="Calibri"/>
          <w:b/>
          <w:sz w:val="22"/>
        </w:rPr>
        <w:t>Type de prix</w:t>
      </w:r>
    </w:p>
    <w:p>
      <w:pPr>
        <w:pStyle w:val="ListBullet"/>
      </w:pPr>
      <w:r>
        <w:rPr>
          <w:rFonts w:ascii="Calibri" w:hAnsi="Calibri"/>
          <w:sz w:val="22"/>
        </w:rPr>
        <w:t>Prix forfaitaire</w:t>
      </w:r>
    </w:p>
    <w:p>
      <w:pPr>
        <w:pStyle w:val="ListBullet"/>
      </w:pPr>
      <w:r>
        <w:rPr>
          <w:rFonts w:ascii="Calibri" w:hAnsi="Calibri"/>
          <w:sz w:val="22"/>
        </w:rPr>
        <w:t>Prix unitaires (bordereau)</w:t>
      </w:r>
    </w:p>
    <w:p>
      <w:pPr>
        <w:pStyle w:val="ListBullet"/>
      </w:pPr>
      <w:r>
        <w:rPr>
          <w:rFonts w:ascii="Calibri" w:hAnsi="Calibri"/>
          <w:sz w:val="22"/>
        </w:rPr>
        <w:t>Mixte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Prix ferme ou révisable ?</w:t>
      </w:r>
    </w:p>
    <w:p>
      <w:r>
        <w:rPr>
          <w:rFonts w:ascii="Calibri" w:hAnsi="Calibri"/>
          <w:i/>
          <w:sz w:val="22"/>
        </w:rPr>
        <w:t>Un prix révisable est conseillé pour les marchés longs (plus d'un an) ou exposés aux variations de matières premières.</w:t>
      </w:r>
    </w:p>
    <w:p>
      <w:pPr>
        <w:pStyle w:val="ListBullet"/>
      </w:pPr>
      <w:r>
        <w:rPr>
          <w:rFonts w:ascii="Calibri" w:hAnsi="Calibri"/>
          <w:sz w:val="22"/>
        </w:rPr>
        <w:t>Ferme</w:t>
      </w:r>
    </w:p>
    <w:p>
      <w:pPr>
        <w:pStyle w:val="ListBullet"/>
      </w:pPr>
      <w:r>
        <w:rPr>
          <w:rFonts w:ascii="Calibri" w:hAnsi="Calibri"/>
          <w:sz w:val="22"/>
        </w:rPr>
        <w:t>Ferme actualisable</w:t>
      </w:r>
    </w:p>
    <w:p>
      <w:pPr>
        <w:pStyle w:val="ListBullet"/>
      </w:pPr>
      <w:r>
        <w:rPr>
          <w:rFonts w:ascii="Calibri" w:hAnsi="Calibri"/>
          <w:sz w:val="22"/>
        </w:rPr>
        <w:t>Révisable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Si révisable : indice de référence connu ?</w:t>
      </w:r>
    </w:p>
    <w:p>
      <w:r>
        <w:rPr>
          <w:rFonts w:ascii="Calibri" w:hAnsi="Calibri"/>
          <w:i/>
          <w:sz w:val="22"/>
        </w:rPr>
        <w:t>Par exemple SYNTEC (informatique/systèmes d'information), ING (ingénierie et maîtrise d'œuvre bâtiment), BT/TP (travaux), ICHT (coût de la main-d'œuvre)… L'outil peut proposer l'indice adapté au secteur.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Souhaitez-vous une clause butoir et/ou de sauvegarde ?</w:t>
      </w:r>
    </w:p>
    <w:p>
      <w:r>
        <w:rPr>
          <w:rFonts w:ascii="Calibri" w:hAnsi="Calibri"/>
          <w:i/>
          <w:sz w:val="22"/>
        </w:rPr>
        <w:t>Plafonne la révision (butoir) ou permet un réexamen en cas de variation exceptionnelle (sauvegarde).</w:t>
      </w:r>
    </w:p>
    <w:p>
      <w:pPr>
        <w:pStyle w:val="ListBullet"/>
      </w:pPr>
      <w:r>
        <w:rPr>
          <w:rFonts w:ascii="Calibri" w:hAnsi="Calibri"/>
          <w:sz w:val="22"/>
        </w:rPr>
        <w:t>Non</w:t>
      </w:r>
    </w:p>
    <w:p>
      <w:pPr>
        <w:pStyle w:val="ListBullet"/>
      </w:pPr>
      <w:r>
        <w:rPr>
          <w:rFonts w:ascii="Calibri" w:hAnsi="Calibri"/>
          <w:sz w:val="22"/>
        </w:rPr>
        <w:t>Clause butoir</w:t>
      </w:r>
    </w:p>
    <w:p>
      <w:pPr>
        <w:pStyle w:val="ListBullet"/>
      </w:pPr>
      <w:r>
        <w:rPr>
          <w:rFonts w:ascii="Calibri" w:hAnsi="Calibri"/>
          <w:sz w:val="22"/>
        </w:rPr>
        <w:t>Clause de sauvegarde</w:t>
      </w:r>
    </w:p>
    <w:p>
      <w:pPr>
        <w:pStyle w:val="ListBullet"/>
      </w:pPr>
      <w:r>
        <w:rPr>
          <w:rFonts w:ascii="Calibri" w:hAnsi="Calibri"/>
          <w:sz w:val="22"/>
        </w:rPr>
        <w:t>Les deux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Taux d'avance souhaité ?</w:t>
      </w:r>
    </w:p>
    <w:p>
      <w:r>
        <w:rPr>
          <w:rFonts w:ascii="Calibri" w:hAnsi="Calibri"/>
          <w:i/>
          <w:sz w:val="22"/>
        </w:rPr>
        <w:t>Une avance est obligatoire lorsque le marché dépasse 50 000 € HT et dure plus de 2 mois ; le taux minimal est de 5 %, pouvant être majoré (jusqu'à 20 % pour les PME) — art. R.2191-3 et suivants du code de la commande publique.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5. Critères d'attribution</w:t>
      </w:r>
    </w:p>
    <w:p>
      <w:r>
        <w:rPr>
          <w:rFonts w:ascii="Calibri" w:hAnsi="Calibri"/>
          <w:b/>
          <w:sz w:val="22"/>
        </w:rPr>
        <w:t>Critères et pondérations envisagés</w:t>
      </w:r>
    </w:p>
    <w:p>
      <w:r>
        <w:rPr>
          <w:rFonts w:ascii="Calibri" w:hAnsi="Calibri"/>
          <w:i/>
          <w:sz w:val="22"/>
        </w:rPr>
        <w:t>Au minimum le prix et la valeur technique. Un critère environnemental devient obligatoire pour les consultations engagées à compter du 21 août 2026 (art. R.2152-7 du code de la commande publique, modifié par le décret 2022-767).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Sous-critères techniques envisagés ?</w:t>
      </w:r>
    </w:p>
    <w:p>
      <w:r>
        <w:rPr>
          <w:rFonts w:ascii="Calibri" w:hAnsi="Calibri"/>
          <w:i/>
          <w:sz w:val="22"/>
        </w:rPr>
        <w:t>Détail de la valeur technique (méthodologie, délais, moyens…).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Une négociation est-elle prévue ?</w:t>
      </w:r>
    </w:p>
    <w:p>
      <w:r>
        <w:rPr>
          <w:rFonts w:ascii="Calibri" w:hAnsi="Calibri"/>
          <w:i/>
          <w:sz w:val="22"/>
        </w:rPr>
        <w:t>Possible en MAPA et en marché négocié.</w:t>
      </w:r>
    </w:p>
    <w:p>
      <w:pPr>
        <w:pStyle w:val="ListBullet"/>
      </w:pPr>
      <w:r>
        <w:rPr>
          <w:rFonts w:ascii="Calibri" w:hAnsi="Calibri"/>
          <w:sz w:val="22"/>
        </w:rPr>
        <w:t>Oui</w:t>
      </w:r>
    </w:p>
    <w:p>
      <w:pPr>
        <w:pStyle w:val="ListBullet"/>
      </w:pPr>
      <w:r>
        <w:rPr>
          <w:rFonts w:ascii="Calibri" w:hAnsi="Calibri"/>
          <w:sz w:val="22"/>
        </w:rPr>
        <w:t>Non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6. Développement durable et RSE</w:t>
      </w:r>
    </w:p>
    <w:p>
      <w:r>
        <w:rPr>
          <w:rFonts w:ascii="Calibri" w:hAnsi="Calibri"/>
          <w:b/>
          <w:sz w:val="22"/>
        </w:rPr>
        <w:t>Considérations environnementales prévues ?</w:t>
      </w:r>
    </w:p>
    <w:p>
      <w:r>
        <w:rPr>
          <w:rFonts w:ascii="Calibri" w:hAnsi="Calibri"/>
          <w:i/>
          <w:sz w:val="22"/>
        </w:rPr>
        <w:t>Critère d'attribution et/ou clause d'exécution. Le critère environnemental est obligatoire pour les consultations engagées à compter du 21 août 2026 (art. R.2152-7 du code de la commande publique, décret 2022-767) ; les clauses d'exécution environnementales le sont à compter du 22 août 2026 (art. L.2112-2 du code de la commande publique).</w:t>
      </w:r>
    </w:p>
    <w:p>
      <w:pPr>
        <w:pStyle w:val="ListBullet"/>
      </w:pPr>
      <w:r>
        <w:rPr>
          <w:rFonts w:ascii="Calibri" w:hAnsi="Calibri"/>
          <w:sz w:val="22"/>
        </w:rPr>
        <w:t>Critère environnemental</w:t>
      </w:r>
    </w:p>
    <w:p>
      <w:pPr>
        <w:pStyle w:val="ListBullet"/>
      </w:pPr>
      <w:r>
        <w:rPr>
          <w:rFonts w:ascii="Calibri" w:hAnsi="Calibri"/>
          <w:sz w:val="22"/>
        </w:rPr>
        <w:t>Clause d'exécution</w:t>
      </w:r>
    </w:p>
    <w:p>
      <w:pPr>
        <w:pStyle w:val="ListBullet"/>
      </w:pPr>
      <w:r>
        <w:rPr>
          <w:rFonts w:ascii="Calibri" w:hAnsi="Calibri"/>
          <w:sz w:val="22"/>
        </w:rPr>
        <w:t>Les deux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Considérations sociales prévues ?</w:t>
      </w:r>
    </w:p>
    <w:p>
      <w:r>
        <w:rPr>
          <w:rFonts w:ascii="Calibri" w:hAnsi="Calibri"/>
          <w:i/>
          <w:sz w:val="22"/>
        </w:rPr>
        <w:t>Clause d'insertion, marché réservé, etc.</w:t>
      </w:r>
    </w:p>
    <w:p>
      <w:pPr>
        <w:pStyle w:val="ListBullet"/>
      </w:pPr>
      <w:r>
        <w:rPr>
          <w:rFonts w:ascii="Calibri" w:hAnsi="Calibri"/>
          <w:sz w:val="22"/>
        </w:rPr>
        <w:t>Non</w:t>
      </w:r>
    </w:p>
    <w:p>
      <w:pPr>
        <w:pStyle w:val="ListBullet"/>
      </w:pPr>
      <w:r>
        <w:rPr>
          <w:rFonts w:ascii="Calibri" w:hAnsi="Calibri"/>
          <w:sz w:val="22"/>
        </w:rPr>
        <w:t>Clause d'insertion sociale</w:t>
      </w:r>
    </w:p>
    <w:p>
      <w:pPr>
        <w:pStyle w:val="ListBullet"/>
      </w:pPr>
      <w:r>
        <w:rPr>
          <w:rFonts w:ascii="Calibri" w:hAnsi="Calibri"/>
          <w:sz w:val="22"/>
        </w:rPr>
        <w:t>Marché réservé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Quotas spécifiques liés à l'objet ?</w:t>
      </w:r>
    </w:p>
    <w:p>
      <w:r>
        <w:rPr>
          <w:rFonts w:ascii="Calibri" w:hAnsi="Calibri"/>
          <w:i/>
          <w:sz w:val="22"/>
        </w:rPr>
        <w:t>Exemple : part minimale de véhicules à faibles émissions pour un marché de véhicules. Obligation conditionnelle (selon la taille de la flotte et l'usage) — à vérifier au cas par cas.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7. Exécution et clauses particulières</w:t>
      </w:r>
    </w:p>
    <w:p>
      <w:r>
        <w:rPr>
          <w:rFonts w:ascii="Calibri" w:hAnsi="Calibri"/>
          <w:b/>
          <w:sz w:val="22"/>
        </w:rPr>
        <w:t>Délais de livraison / d'exécution attendus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Exigences particulières en matière de pénalités ?</w:t>
      </w:r>
    </w:p>
    <w:p>
      <w:r>
        <w:rPr>
          <w:rFonts w:ascii="Calibri" w:hAnsi="Calibri"/>
          <w:i/>
          <w:sz w:val="22"/>
        </w:rPr>
        <w:t>Pénalités de retard, de non-conformité, etc.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Garanties, SAV ou maintenance attendus ?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Variantes, options ou prestations supplémentaires éventuelles (PSE) ?</w:t>
      </w:r>
    </w:p>
    <w:p>
      <w:pPr>
        <w:pStyle w:val="ListBullet"/>
      </w:pPr>
      <w:r>
        <w:rPr>
          <w:rFonts w:ascii="Calibri" w:hAnsi="Calibri"/>
          <w:sz w:val="22"/>
        </w:rPr>
        <w:t>Aucune</w:t>
      </w:r>
    </w:p>
    <w:p>
      <w:pPr>
        <w:pStyle w:val="ListBullet"/>
      </w:pPr>
      <w:r>
        <w:rPr>
          <w:rFonts w:ascii="Calibri" w:hAnsi="Calibri"/>
          <w:sz w:val="22"/>
        </w:rPr>
        <w:t>Variantes autorisées</w:t>
      </w:r>
    </w:p>
    <w:p>
      <w:pPr>
        <w:pStyle w:val="ListBullet"/>
      </w:pPr>
      <w:r>
        <w:rPr>
          <w:rFonts w:ascii="Calibri" w:hAnsi="Calibri"/>
          <w:sz w:val="22"/>
        </w:rPr>
        <w:t>Variantes exigées</w:t>
      </w:r>
    </w:p>
    <w:p>
      <w:pPr>
        <w:pStyle w:val="ListBullet"/>
      </w:pPr>
      <w:r>
        <w:rPr>
          <w:rFonts w:ascii="Calibri" w:hAnsi="Calibri"/>
          <w:sz w:val="22"/>
        </w:rPr>
        <w:t>PSE / options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Modalités de facturation</w:t>
      </w:r>
    </w:p>
    <w:p>
      <w:r>
        <w:rPr>
          <w:rFonts w:ascii="Calibri" w:hAnsi="Calibri"/>
          <w:i/>
          <w:sz w:val="22"/>
        </w:rPr>
        <w:t>Facturation dématérialisée via Chorus Pro.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8. Pièces du DCE souhaitées</w:t>
      </w:r>
    </w:p>
    <w:p>
      <w:r>
        <w:rPr>
          <w:rFonts w:ascii="Calibri" w:hAnsi="Calibri"/>
          <w:b/>
          <w:sz w:val="22"/>
        </w:rPr>
        <w:t>Quelles pièces souhaitez-vous voir produites ?</w:t>
      </w:r>
    </w:p>
    <w:p>
      <w:r>
        <w:rPr>
          <w:rFonts w:ascii="Calibri" w:hAnsi="Calibri"/>
          <w:i/>
          <w:sz w:val="22"/>
        </w:rPr>
        <w:t>L'outil peut proposer le jeu de pièces adapté à votre procédure et à votre CCAG.</w:t>
      </w:r>
    </w:p>
    <w:p>
      <w:pPr>
        <w:pStyle w:val="ListBullet"/>
      </w:pPr>
      <w:r>
        <w:rPr>
          <w:rFonts w:ascii="Calibri" w:hAnsi="Calibri"/>
          <w:sz w:val="22"/>
        </w:rPr>
        <w:t>Règlement de consultation (RC)</w:t>
      </w:r>
    </w:p>
    <w:p>
      <w:pPr>
        <w:pStyle w:val="ListBullet"/>
      </w:pPr>
      <w:r>
        <w:rPr>
          <w:rFonts w:ascii="Calibri" w:hAnsi="Calibri"/>
          <w:sz w:val="22"/>
        </w:rPr>
        <w:t>CCAP</w:t>
      </w:r>
    </w:p>
    <w:p>
      <w:pPr>
        <w:pStyle w:val="ListBullet"/>
      </w:pPr>
      <w:r>
        <w:rPr>
          <w:rFonts w:ascii="Calibri" w:hAnsi="Calibri"/>
          <w:sz w:val="22"/>
        </w:rPr>
        <w:t>CCTP</w:t>
      </w:r>
    </w:p>
    <w:p>
      <w:pPr>
        <w:pStyle w:val="ListBullet"/>
      </w:pPr>
      <w:r>
        <w:rPr>
          <w:rFonts w:ascii="Calibri" w:hAnsi="Calibri"/>
          <w:sz w:val="22"/>
        </w:rPr>
        <w:t>Acte d'engagement (AE)</w:t>
      </w:r>
    </w:p>
    <w:p>
      <w:pPr>
        <w:pStyle w:val="ListBullet"/>
      </w:pPr>
      <w:r>
        <w:rPr>
          <w:rFonts w:ascii="Calibri" w:hAnsi="Calibri"/>
          <w:sz w:val="22"/>
        </w:rPr>
        <w:t>BPU / DQE / DPGF</w:t>
      </w:r>
    </w:p>
    <w:p>
      <w:pPr>
        <w:pStyle w:val="ListBullet"/>
      </w:pPr>
      <w:r>
        <w:rPr>
          <w:rFonts w:ascii="Calibri" w:hAnsi="Calibri"/>
          <w:sz w:val="22"/>
        </w:rPr>
        <w:t>Grille de notation</w:t>
      </w:r>
    </w:p>
    <w:p>
      <w:pPr>
        <w:pStyle w:val="ListBullet"/>
      </w:pPr>
      <w:r>
        <w:rPr>
          <w:rFonts w:ascii="Calibri" w:hAnsi="Calibri"/>
          <w:sz w:val="22"/>
        </w:rPr>
        <w:t>Cadre de mémoire technique</w:t>
      </w:r>
    </w:p>
    <w:p>
      <w:pPr>
        <w:pStyle w:val="ListBullet"/>
      </w:pPr>
      <w:r>
        <w:rPr>
          <w:rFonts w:ascii="Calibri" w:hAnsi="Calibri"/>
          <w:sz w:val="22"/>
        </w:rPr>
        <w:t>Formulaires DC1 / DC2 / DC4</w:t>
      </w:r>
    </w:p>
    <w:p>
      <w:pPr>
        <w:pStyle w:val="ListBullet"/>
      </w:pPr>
      <w:r>
        <w:rPr>
          <w:rFonts w:ascii="Calibri" w:hAnsi="Calibri"/>
          <w:sz w:val="22"/>
        </w:rPr>
        <w:t>Annexes</w:t>
      </w:r>
    </w:p>
    <w:p>
      <w:pPr>
        <w:pStyle w:val="ListBullet"/>
      </w:pPr>
      <w:r>
        <w:rPr>
          <w:rFonts w:ascii="Calibri" w:hAnsi="Calibri"/>
          <w:sz w:val="22"/>
        </w:rPr>
        <w:t>☐ Laisser DCE-IA choisir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r>
        <w:rPr>
          <w:rFonts w:ascii="Calibri" w:hAnsi="Calibri"/>
          <w:b/>
          <w:sz w:val="22"/>
        </w:rPr>
        <w:t>Autres pièces spécifiques ?</w:t>
      </w:r>
    </w:p>
    <w:p>
      <w:r>
        <w:rPr>
          <w:rFonts w:ascii="Calibri" w:hAnsi="Calibri"/>
          <w:sz w:val="22"/>
        </w:rPr>
        <w:t xml:space="preserve">Réponse : </w:t>
      </w:r>
      <w:r>
        <w:rPr>
          <w:rFonts w:ascii="Calibri" w:hAnsi="Calibri"/>
          <w:b/>
          <w:color w:val="C00000"/>
          <w:sz w:val="22"/>
        </w:rPr>
        <w:t>[à compléter]</w:t>
      </w:r>
    </w:p>
    <w:p>
      <w:pPr>
        <w:pBdr>
          <w:bottom w:val="single" w:sz="6" w:color="1F3A5F"/>
        </w:pBdr>
      </w:pPr>
    </w:p>
    <w:p>
      <w:pPr>
        <w:pStyle w:val="Heading2"/>
      </w:pPr>
      <w:r>
        <w:t>9. Documents à joindre à votre rédaction</w:t>
      </w:r>
    </w:p>
    <w:p>
      <w:r>
        <w:rPr>
          <w:rFonts w:ascii="Calibri" w:hAnsi="Calibri"/>
          <w:b/>
          <w:sz w:val="22"/>
        </w:rPr>
        <w:t>Pensez à joindre ce bordereau rempli et tout document utile.</w:t>
      </w:r>
    </w:p>
    <w:p>
      <w:r>
        <w:rPr>
          <w:rFonts w:ascii="Calibri" w:hAnsi="Calibri"/>
          <w:i/>
          <w:sz w:val="22"/>
        </w:rPr>
        <w:t>Ancien CCTP, plans, étude de besoin, devis indicatifs… Ils aident l'outil à mieux cadrer votre marché.</w:t>
      </w:r>
    </w:p>
    <w:p>
      <w:pPr>
        <w:pBdr>
          <w:bottom w:val="single" w:sz="6" w:color="1F3A5F"/>
        </w:pBdr>
      </w:pPr>
    </w:p>
    <w:p>
      <w:r>
        <w:rPr>
          <w:rFonts w:ascii="Calibri" w:hAnsi="Calibri"/>
          <w:i/>
          <w:sz w:val="22"/>
        </w:rPr>
        <w:t>Document d'aide à la préparation. Ne constitue pas un conseil juridique.</w:t>
      </w:r>
    </w:p>
    <w:sectPr w:rsidR="00FC693F" w:rsidRPr="0006063C" w:rsidSect="00034616">
      <w:pgSz w:w="12240" w:h="15840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